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6E" w:rsidRPr="007B2E6E" w:rsidRDefault="007B2E6E" w:rsidP="007B2E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sz w:val="21"/>
          <w:szCs w:val="21"/>
          <w:lang w:eastAsia="ru-RU"/>
        </w:rPr>
      </w:pPr>
      <w:bookmarkStart w:id="0" w:name="_GoBack"/>
      <w:r w:rsidRPr="007B2E6E">
        <w:rPr>
          <w:rFonts w:ascii="Tahoma" w:eastAsia="Times New Roman" w:hAnsi="Tahoma" w:cs="Tahoma"/>
          <w:b/>
          <w:bCs/>
          <w:color w:val="313413"/>
          <w:sz w:val="21"/>
          <w:szCs w:val="21"/>
          <w:lang w:eastAsia="ru-RU"/>
        </w:rPr>
        <w:t>Перечень оборудования Центра образования естественно – научной и технологической направленности</w:t>
      </w:r>
    </w:p>
    <w:p w:rsidR="007B2E6E" w:rsidRPr="007B2E6E" w:rsidRDefault="007B2E6E" w:rsidP="007B2E6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sz w:val="21"/>
          <w:szCs w:val="21"/>
          <w:lang w:eastAsia="ru-RU"/>
        </w:rPr>
      </w:pPr>
      <w:r w:rsidRPr="007B2E6E">
        <w:rPr>
          <w:rFonts w:ascii="Tahoma" w:eastAsia="Times New Roman" w:hAnsi="Tahoma" w:cs="Tahoma"/>
          <w:b/>
          <w:bCs/>
          <w:color w:val="313413"/>
          <w:sz w:val="21"/>
          <w:szCs w:val="21"/>
          <w:lang w:eastAsia="ru-RU"/>
        </w:rPr>
        <w:t>«Точка роста»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024"/>
        <w:gridCol w:w="4178"/>
        <w:gridCol w:w="1356"/>
        <w:gridCol w:w="1432"/>
      </w:tblGrid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0"/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Краткая техническая характеристика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Единица измерения показателя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Количество</w:t>
            </w:r>
          </w:p>
        </w:tc>
      </w:tr>
      <w:tr w:rsidR="007B2E6E" w:rsidRPr="007B2E6E" w:rsidTr="007B2E6E">
        <w:tc>
          <w:tcPr>
            <w:tcW w:w="0" w:type="auto"/>
            <w:vMerge w:val="restart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Образовательный конструктор для практики блочного программирования с комплектом датчиков содержит: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Базовый робототехнический набор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Ресурсный робототехнический набор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Состав базового  робототехнического набора: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Конструктивные элементы из пластика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99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Переходные и соединительные элементы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145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Крепежные элементы, представляющие собой пластиковые втулки различной длины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250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Валы и сопутствующие им элементы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115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Шкивы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Ремни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Зубчатые колеса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Колеса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Колеса состоят из ступицы и резиновой покрышки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Приводный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модуль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Приводный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модуль представляет собой электромеханическое устройство, состоящее из двигателя постоянного тока и схемы управления, микроконтроллера, предназначенного для обработки команд управления и обеспечивающего защиту устройства от превышения тока и напряжения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встроенный в приводной модуль микроконтроллер c программной функцией ПИД-регулирования для точного регулирования скорости вращения выходного вала и его положения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рабочая частота обработки команд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кГц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характеристики приводного модуля: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скоростью вращения выходного вала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об/мин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135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выходной мощностью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1,4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разрешающая способность квадратурного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энкодера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угловых градуса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0,375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Программируемый контроллер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Габариты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11х8х5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LCD монитор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управляющие кнопки для навигации по меню управления и переключения режимов работы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операций в секунду выполняемых микроконтроллером, входящим в состав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миллионов операций в секунду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разрядность АЦП преобразований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разрядов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объем энергонезависимой памяти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кБ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256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объем энергозависимой памяти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кБ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программируемый контроллер имеет: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USB порт для программирования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порт для подключения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радиомодуля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портов для подключения внешних устройств программируемого контроллера, каждый из которых обеспечивает возможность работы как приводов, так дискретных и аналоговых датчиков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корпус программируемого контроллера имеет: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отсек для подключения батареи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отсек для подключения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радиомодуля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для беспроводной передачи данных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включает в себя: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Пульт дистанционного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15х11х6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кнопок управления на пульте дистанционного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джойстиков на пульте дистанционного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пульт дистанционного управления имеет: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порт для связи с программируемым контроллером при помощи интерфейсного кабеля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USB-порт (с возможностью применения для заряда аккумуляторной батареи)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порт для подключения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радиомодуля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отсек для установки аккумуляторной батареи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радиомодуль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предназначенный для беспроводной связи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частота беспроводной связи по радиоканалу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ГГц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2,4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касания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касания представляет собой устройство на базе микроконтроллера, позволяющее определять нажатие, работать как кнопка и определять свое собственное состояние (замкнут/разомкнут)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гироскоп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Датчик гироскоп представляет собой устройство, включающее в себя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трехосевой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MEMS-гироскоп, микроконтроллер, предназначающийся для обработки команд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измерение скорости отклонения объектов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угловых градусов в секунду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500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фиксировать изменение угла ориентации объекта со скоростью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 в секунду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3000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тактильный-сенсорный со светодиодным модулем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тактильный-сенсорный со светодиодным модулем представляет собой устройство на базе микроконтроллера, предназначенного для обработки команд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светодиодный модуль позволяет воспроизводить количество цветов по шкале RGB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миллионов цветов по шкале RGB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расстояния ультразвуковой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расстояния ультразвуковой представляет собой устройство, включающее в себя УЗ-дальномер, микроконтроллер, предназначенный для обработки команд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цвета и освещенности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цвета и освещенности представляет собой устройство на базе микроконтроллера, позволяющее определять цвет поверхностей и объектов, определять оттенки цвета, определять меру независимо для каждого из цветов по шкале RGB, а так же измерять освещенность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Аккумуляторная батарея для пульта дистанционного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Емкость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мАч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Аккумуляторная батарея, предназначенная для питания программируемого контролера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Емкость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мАч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2000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Зарядное устройство для аккумуляторной батареи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Кабель для зарядного устройства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Комплект соединительных кабелей и шлейфов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Кабель USB для программирования программируемого контроллера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Состав ресурсного робототехнического набора: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Робототехнический контроллер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Робототехнический контроллер представляет собой модульное устройство на основе программируемого контроллера и периферийной платы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Робототехнический контроллер обеспечивает конструктивную, аппаратную и программную совместимость с комплектующими, входящими в состав образовательного конструктора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Робототехнический контроллер обладает встроенным экраном для вывода справочной, пользовательской информации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соответствие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Габариты робототехнического контроллера в сборе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145х110х40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Технические характеристики встроенного экрана: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Тип экрана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OLED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Разрешение экрана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точек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128 х 64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Цветность экрана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монохромный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Технические характеристики программируемого контроллера: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140х65х15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Встроенный стабилизатор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Встроенный цифровой предохранитель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Система ограничения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переразряда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батареи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Технические характеристики программируемого контроллера: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порты для подключения внешней аккумуляторной батареи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 внешней аккумуляторной батареи (нижняя граница диапазона)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6.8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 внешней аккумуляторной батареи (верхняя граница диапазона)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тумблер для коммутирования подачи электропитания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порты для подключения внешних цифровых и аналоговых устройств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50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порты USB для программирования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USART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I2C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SPI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интерфейс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интерфейс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Bluetooth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ISP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для подключения внешних периферийных модулей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линий интерфейса для подключения внешних периферийных модулей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интерфейсов для управления двигателями постоянного тока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программируемых светодиодов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элементов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Технические характеристики периферийной платы: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Интерфейсы для подключения, коммутации питания, управления средствами программируемого контроллера и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Arduino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IDE, опроса данных и установки параметров моторов и датчиков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для подключения радио-передатчика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для подключения пульта управления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Тактовая частота микроконтроллера модуля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МГц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48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аппаратных шин I2C с раздельной буферизацией для обмена данными с моторами и датчиками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Вход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питания(нижняя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7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питания(верхняя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vMerge w:val="restart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b/>
                <w:bCs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Защита от короткого замыкания и перегрузки по входу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Защита интерфейсов моторов и датчиков от перегрузки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наличие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Максимальный суммарный ток моторов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7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Незащищенный неотключаемый выход питания, дублирующий вход, для подключения нескольких совместимых устройств к одному источнику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Защищенный от короткого замыкания и перегрузки отключаемый выключателем выход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Дополнительный защищенный отключаемый выход питания для слаботочных цифровых устройств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Номинальный ток предохранителя дополнительного выхода питания слаботочных цифровых устройств, не приводящий к срабатыванию защиты (нижняя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Номинальный ток предохранителя дополнительного выхода питания слаботочных цифровых устройств, не приводящий к срабатыванию защиты (верхняя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Интерфейс SPI для подключения вычислительного модуля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Дублирующий разъем интерфейса SPI с возможностью сквозного подключения нескольких совместимых модулей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Выключатель питания модуля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Кнопка перезагрузки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Индикатор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Индикаторы работы модуля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140х100x30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Номинальное напряжение(нижняя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6,8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Номинальное напряжение(верхняя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Емкость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мАч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1000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Зарядное устройство аккумуляторной батареи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каналов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Максимальный ток заряда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0,2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заряжаемых аккумуляторов (нижняя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6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заряжаемых аккумуляторов (верхняя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9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Входное напряжение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220 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коммутационных кабелей с разъемами для подключения питания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Датчик силы нажатия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управляющих линий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интерфейсов 3pin TTL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 (нижняя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3.3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Напряжение питания (верхняя граница)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«COEX Клевер 4 PRO»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«COEX Клевер 4 PRO»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Учебный набор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квадрокоптера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компетенции эксплуатации беспилотных авиационных систем «COEX Клевер 4 PRO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Wordskills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Russia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Учебный набор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квадрокоптера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компетенции эксплуатации беспилотных авиационных систем «COEX Клевер 4 PRO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Wordskills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Russia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Цифровая лаборатория по физике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Обеспечивает выполнение экспериментов по физике. Комплектация: беспроводной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мультидачик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физике с 6-ю встроенными датчиками:  температуры,  абсолютного давления, магнитного поля, напряжения, датчик тока, датчик акселерометр.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Цифровая лаборатория по химии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Обеспечивает выполнение лабораторных работ по химии на уроках в основной школе и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проектно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– исследовательской деятельности.</w:t>
            </w:r>
          </w:p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 Комплектация: : беспроводной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мультидачик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химии  с 4-мя  встроенными датчиками: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ph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электропроводимости, оптимальной плотности, датчик высоких температур,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Цифровая лаборатория по биологии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Обеспечивает выполнение лабораторных работ по </w:t>
            </w:r>
            <w:proofErr w:type="gram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биологии  на</w:t>
            </w:r>
            <w:proofErr w:type="gram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уроках в основной школе и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проектно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– исследовательской деятельности.</w:t>
            </w:r>
          </w:p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Комплектация: беспроводной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мультидачик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биологии  с 6-ю встроенными датчиками:  влажности, освещенности,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ph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, температуры, электропроводимости, датчик температуры окружающей среды.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Цифровая лаборатория по физиологии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Обеспечивает проведение исследования по функционированию человеческого организма. Комплектация: беспроводной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мультидачик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 биологии  с 5-ю встроенными датчиками:  артериального давления, пульса, температуры тела, частоты дыхания, ЭКГ.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 w:val="restart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ОГЭ по химии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весы лабораторные электронные 200 г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спиртовка лабораторная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воронка коническая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палочка стеклянная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пробирка ПХ- 14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стакан высокий с носиком ВН-50 с меткой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цилиндр измерительный 2-50-2 (стеклянный, с притертой крышкой)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штатив для пробирок на 10 гнёзд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зажим пробирочный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шпатель-ложечка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флаконов для хранения растворов и реактивов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цилиндр измерительный с носиком 1-50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стакан высокий 500 мл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ершей для мытья посуды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халат белый х/б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перчатки резиновые химические стойкие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очки защитные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фильтры бумажные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горючее для спиртовок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реактивов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Состав набора флаконов для хранения растворов и реактивов.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объем флакона 100 мл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флаконов в комплекте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Объем флакона 30 мл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Количество флаконов в комплекте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Состав набора ершей для мытья посуды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ерш для мытья кол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ерш для мытья пробирок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Объем горючего для спиртовок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реактивов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 Железо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Цинк, гранулы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Оксид меди(II), порошок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Оксид магния, порошок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Соляная кислота, 10 %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Серная кислота, 25 %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Гидроксид натрия, 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Гидроксид кальция, насыщенный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натрия,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лития, 5-10% раствор,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кальция,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меди(II),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алюминия,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железа(III),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аммония,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бария, 1%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натрия,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магния,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меди(II),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железа(II),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цинка,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алюминия,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Сульфат аммония,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Карбонат натрия,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Карбонат кальция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Гидрокарбонат натрия,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Ортофосфат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натрия, 5%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Бромид натрия,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Йодид калия,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Нитрат бария,5%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Нитрат серебра, 1%раствор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Аммиак, 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Пероксид водорода, 3-5%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Метиловый оранжевый, 0,1%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Лакмус, 0,1%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Фенолфталеин, 0,1% водно-спиртовой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Хлорид магния,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Нитрат калия,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Нитрат кальция, 5-10% раствор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Оксид алюминия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Оксид кремния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Дистиллированная вода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Комплектация:</w:t>
            </w:r>
          </w:p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pin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для связи по последовательной шине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Bluetooth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Ethernet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I2C I2S ISP PWM SPI UART USART USB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WiFi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Для</w:t>
            </w:r>
            <w:proofErr w:type="gram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подключения карты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microSD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Для подключения микрофона Аккумуляторная батарея Блок питания Датчики расстояния УЗ-типа Жидкокристаллический дисплей</w:t>
            </w:r>
          </w:p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Зарядное устройство аккумуляторных батарей. Звуковой излучатель. Металлическое основание для конструирования шасси мобильного робота. Модуль для создания дополнительной точки опоры в собираемых конструкциях. Модуль технического зрения Пассивные элементы, обладающие электрическим сопротивлением Плата для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беспаечного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прототипирования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Полупроводниковый прибор с изменяемой под действием облучения света величиной собственного сопротивления Полупроводниковый прибор с изменяемой под действием температуры величиной собственного сопротивления. Потенциометры с рукояткой для плавного управления внешними устройствами. Приводы постоянного тока. Программируемые кнопки. Программируемые светодиоды. Регулируемые делители напряжения. Робототехнический контроллер.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Семисегментный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индикатор. Сервоприводы большие. Сервоприводы малые. Тактовые кнопки. Тумблер для коммутирования подачи электропитания. Шаговые приводы. Полупроводниковые модули, обладающие электронно-дырочной проводимостью. Порты USB для программирования. Порты для подключения устройств по последовательному интерфейсу. Порты для подключения внешних цифровых и аналоговых устройств.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Робот-манипулятор учебный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Многофункциональный настольный роботизированный манипулятор с обратной связью для практического обучения. С помощью универсального комплекта сменных рабочих инструментов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Dobot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magician</w:t>
            </w:r>
            <w:proofErr w:type="spellEnd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® способен реализовывать такие функции, как: трехмерная печать, лазерная гравировка, написание и рисование.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Контроллер и  встроенные устройства ввода-вывода, позволяющие реализовать прототипы робототехнических систем без монтажа дополнительных компонентов.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  <w:tr w:rsidR="007B2E6E" w:rsidRPr="007B2E6E" w:rsidTr="007B2E6E"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proofErr w:type="spellStart"/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486BA3"/>
              <w:left w:val="single" w:sz="6" w:space="0" w:color="486BA3"/>
              <w:bottom w:val="single" w:sz="6" w:space="0" w:color="486BA3"/>
              <w:right w:val="single" w:sz="6" w:space="0" w:color="486BA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E6E" w:rsidRPr="007B2E6E" w:rsidRDefault="007B2E6E" w:rsidP="007B2E6E">
            <w:pPr>
              <w:spacing w:after="0" w:line="240" w:lineRule="auto"/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</w:pPr>
            <w:r w:rsidRPr="007B2E6E">
              <w:rPr>
                <w:rFonts w:ascii="Tahoma" w:eastAsia="Times New Roman" w:hAnsi="Tahoma" w:cs="Tahoma"/>
                <w:color w:val="313413"/>
                <w:sz w:val="21"/>
                <w:szCs w:val="21"/>
                <w:lang w:eastAsia="ru-RU"/>
              </w:rPr>
              <w:t>2</w:t>
            </w:r>
          </w:p>
        </w:tc>
      </w:tr>
    </w:tbl>
    <w:p w:rsidR="003B6098" w:rsidRPr="007B2E6E" w:rsidRDefault="003B6098" w:rsidP="007B2E6E"/>
    <w:sectPr w:rsidR="003B6098" w:rsidRPr="007B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67"/>
    <w:rsid w:val="003B6098"/>
    <w:rsid w:val="00793567"/>
    <w:rsid w:val="007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AEF2A-8544-42A1-AE50-79C01A1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Акмашева</dc:creator>
  <cp:keywords/>
  <dc:description/>
  <cp:lastModifiedBy>Ксения Акмашева</cp:lastModifiedBy>
  <cp:revision>2</cp:revision>
  <dcterms:created xsi:type="dcterms:W3CDTF">2023-02-25T16:02:00Z</dcterms:created>
  <dcterms:modified xsi:type="dcterms:W3CDTF">2023-02-25T16:02:00Z</dcterms:modified>
</cp:coreProperties>
</file>