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0"/>
        <w:jc w:val="both"/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</w:rPr>
        <w:t xml:space="preserve">Прокурор разъясняет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</w:rPr>
        <w:t xml:space="preserve"> Какая ответственность предусмотрена за нахождение несовершеннолетнего в состоянии опьянения в общественном месте?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 Законодательство Российской Федерации предусматривает административную ответственность за такое правонарушение.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  Так, ст. 20.22 Кодекса Российской Федерации об административных правонар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ушениях (далее – КоАП РФ) установлено, что 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ных веществ без назначения врача, новых потенциально опасных психоактивных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1,5 тыс.руб. до 2 тыс.руб.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     Вместе с тем, в соответствии со ст. 20.21 КоАП РФ появление на улицах, стадионах, в скверах, парках, в транспортном средстве общего пользования, в других общественных местах в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состоянии опьянения, оскорбляющем человеческое достоинство и общественную нравственность влечет наложение административного штрафа в размере от 500 руб. до 1,5 тыс.руб. или административный арест на срок до 15 суток.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  Статьей 20.20 КоАП РФ предусмотрено, что потребление (распитие) алкогольной продукции в запре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влечет наложение административного штрафа в размере от 500 руб. до 1,5 тыс.руб.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 Кроме того, КоАП РФ устан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овлена ответственность за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веществ. Наказание – административный штраф в размере от 1,5 до 3 тыс.руб.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</w:rPr>
        <w:t xml:space="preserve">Введена уголовная ответственность за пропаганду наркотиков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ind w:right="720"/>
        <w:jc w:val="both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 01.09.2025 в Уголовном кодексе РФ появится новый состав преступления.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Федеральным законом от 08.08.2024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226-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ФЗ Уголовный кодекс РФ дополнен новым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составом преступления – ст. 230.3, предусматривающая уголовную ответственность за пропаганду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 этом для наступления уголовной ответственности лицо должно быть дважды привлечено к административной ответственности в течение года либо иметь судимость за совершение преступления, предусмотренного настоящей статьей.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 совершение указанного преступления предус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мотрены наказания в 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иде штрафа, обязательных, исправительных либо принудительных работ, а также ограничения либо лишения свободы. В качестве дополнительного наказания может быть назначено лишение права занимать определенные должности или заниматься определенной деятельностью.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</w:rPr>
        <w:t xml:space="preserve">Об ответственности за пропаганду нацистской атрибутики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      Статьей 20.3 КоАП РФ установлена административная ответственность за пропаганду либо публичное демонстрирование нацистской атрибутики или с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если эти действия не содержат признаков уголовно наказуемого деяния.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  Указанные действия влекут наложение административного штрафа на граждан в размере от 1 до 2 тыс. руб. с конфискацией предмета административного правонарушения либо административный арест на срок до 15 суток с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конфискацией предмета административного правонарушения; на должностных лиц - от 1 до 4 тыс. руб. с конфискацией предмета административного правонарушения; на юридических лиц – от 10 до 15 тыс. руб. с конфискацией предмета административного правонарушения.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 За изготовление или сбыт в целях пропаганды либо приобретение в целях сбыта или пр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опаганды нацистской атрибутики или символики, в том числе публичное демонстрирование которых запрещены федеральными законами, предусмотрена административная ответственность с назначением наказания в виде штрафа на граждан в размере от 1 до 2,5 тыс. руб. с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конфискацией предмета административного правонарушения; на должностных лиц - от 2 до 5 тыс. руб. с конфискацией предмета административного правонарушения; на юридических лиц - от 20 до 100 тыс. руб. с конфискацией предмета административного правонарушения.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   Срок давности привлечения к административной ответственности за совершение административных правонарушений, предусмотренных статьей 20.3 КоАП РФ, составляет 3 месяца со дня совершения административного правонарушения.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</w:rPr>
        <w:t xml:space="preserve">Какая ответственность предусмотрена за нахождение несовершеннолетнего в состоянии опьянения в общественном месте?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Законодательство Российской Федерации предусматривает административную ответственность за такое правонарушение.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Так, ст. 20.22 Кодекса Российской Федерации об административных правонар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ушениях (далее – КоАП РФ) установлено, что 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ных веществ без назначения врача, новых потенциально опасных психоактивных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1,5 тыс.руб. до 2 тыс.руб.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Вместе с тем, в соответствии со ст. 20.21 КоАП РФ появление на улицах, стадионах, в скверах, парках, в транспортном средстве общего пользования, в других общественных местах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 влечет наложение административного штрафа в размере от 500 руб. до 1,5 тыс.руб. или административный арест на срок до 15 суток.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Статьей 20.20 КоАП РФ предусмотрено, что потребление (распитие) алкогольной продукции в запре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влечет наложение административного штрафа в размере от 500 руб. до 1,5 тыс.руб.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Кроме того, КоАП РФ устан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овлена ответственность за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веществ. Наказание – административный штраф в размере от 1,5 до 3 тыс.руб.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Последствия участия несовершеннолетних в драках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Чаще всего в драку вступают дети младшего и среднего школьного возраста.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Административная ответственность, в том числе за побои, установлена по достижении 16-летнего возраста. К драчунам, не достигшим указанного возраста, применяются меры профилактического характера.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Поводом для административного расследования является любая информация о факте причинения побоев, поступившая в отдел полиции от граждан или из медицинских учреждений. В ходе проверки должностные лица полиции получают объяснения от участников драки и 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х законных представителей, очевидцев, истребуют сведения о характере и степени тяжести вреда здоровью потерпевшего.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По результатам расследования при недостижении возраста административной ответственности выносится определение об отказе в возбуждении дела об административном правонарушении с одновременной передачей материалов на рассмотрение Комиссии по делам несоверш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еннолетних и защите их прав администрации муниципального образования.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Если участники драки достигли 16-летнего возраста, дело об административном правонарушении также передается на рассмотрение вышеназванной комиссии.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Заседание проводится с участием подростка и его законных представителей. Несовершеннолетний, не достигший к моменту совершения правонарушения 16 лет, может быть предупрежден о недопустимости подобного поведения, с ним и его законными представителями пр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оводится профилактическая беседа.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Одновременно решается вопрос о наличии оснований для постановки подростка на учет в подразделении по делам несовершеннолетних органа полиции сроком до 6 месяцев, в течение которого его поведение будет контролироваться, или для направления в специальное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учреждение.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Профилактическую работу будут вести и в школе, которую посещает подросток.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В отношении лица, достигшего 16 лет, могут быть применены аналогичные меры воздействия с назначением административного наказания в виде штрафа или без такового.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При отказе добровольно погасить причиненный потерпевшему ущерб он может быть взыскан с родителей виновного в судебном порядке.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410"/>
        <w:jc w:val="both"/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Заместитель межрайонного прокурора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left="0" w:right="0" w:firstLine="0"/>
        <w:jc w:val="both"/>
        <w:spacing w:after="0" w:before="0"/>
        <w:rPr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советник юстиции  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                                                                         Н.В. Лопотова</w:t>
      </w:r>
      <w:r>
        <w:rPr>
          <w:color w:val="000000" w:themeColor="text1"/>
          <w:sz w:val="28"/>
        </w:rPr>
      </w:r>
    </w:p>
    <w:p>
      <w:pPr>
        <w:pStyle w:val="41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  <w:r>
        <w:rPr>
          <w:color w:val="333333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0">
    <w:name w:val="Обычный"/>
    <w:next w:val="410"/>
    <w:link w:val="410"/>
    <w:rPr>
      <w:sz w:val="24"/>
      <w:szCs w:val="24"/>
      <w:lang w:val="ru-RU" w:bidi="ar-SA" w:eastAsia="ru-RU"/>
    </w:rPr>
  </w:style>
  <w:style w:type="character" w:styleId="411">
    <w:name w:val="Основной шрифт абзаца"/>
    <w:next w:val="411"/>
    <w:link w:val="410"/>
    <w:semiHidden/>
  </w:style>
  <w:style w:type="table" w:styleId="412">
    <w:name w:val="Обычная таблица"/>
    <w:next w:val="412"/>
    <w:link w:val="410"/>
    <w:semiHidden/>
    <w:tblPr/>
  </w:style>
  <w:style w:type="numbering" w:styleId="413">
    <w:name w:val="Нет списка"/>
    <w:next w:val="413"/>
    <w:link w:val="410"/>
    <w:semiHidden/>
  </w:style>
  <w:style w:type="character" w:styleId="460" w:default="1">
    <w:name w:val="Default Paragraph Font"/>
    <w:uiPriority w:val="1"/>
    <w:semiHidden/>
    <w:unhideWhenUsed/>
  </w:style>
  <w:style w:type="numbering" w:styleId="461" w:default="1">
    <w:name w:val="No List"/>
    <w:uiPriority w:val="99"/>
    <w:semiHidden/>
    <w:unhideWhenUsed/>
  </w:style>
  <w:style w:type="paragraph" w:styleId="462" w:default="1">
    <w:name w:val="Normal"/>
    <w:qFormat/>
  </w:style>
  <w:style w:type="table" w:styleId="4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2024-12-03T16:21:02Z</dcterms:modified>
</cp:coreProperties>
</file>